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FE9FF" w14:textId="77777777" w:rsidR="008609C1" w:rsidRDefault="008609C1" w:rsidP="008609C1">
      <w:r>
        <w:t>De : Aranguren, John &lt;John.Aranguren@rbq.gouv.qc.ca&gt;</w:t>
      </w:r>
    </w:p>
    <w:p w14:paraId="0A70B88D" w14:textId="77777777" w:rsidR="008609C1" w:rsidRDefault="008609C1" w:rsidP="008609C1">
      <w:r>
        <w:t>Envoyé : vendredi 11 octobre 2024 10:03</w:t>
      </w:r>
    </w:p>
    <w:p w14:paraId="2164B5B1" w14:textId="77777777" w:rsidR="008609C1" w:rsidRDefault="008609C1" w:rsidP="008609C1">
      <w:r>
        <w:t>À : Charles Morissette &lt;charles.morissette@groupecmi.com&gt;</w:t>
      </w:r>
    </w:p>
    <w:p w14:paraId="2F9B112E" w14:textId="77777777" w:rsidR="008609C1" w:rsidRDefault="008609C1" w:rsidP="008609C1">
      <w:r>
        <w:t>Objet : RE : Projet: Le Capristan, 35 rue Joseph-Hamelin à Sainte-Thérèse</w:t>
      </w:r>
    </w:p>
    <w:p w14:paraId="6AEEEF4B" w14:textId="77777777" w:rsidR="008609C1" w:rsidRDefault="008609C1" w:rsidP="008609C1">
      <w:r>
        <w:t xml:space="preserve"> </w:t>
      </w:r>
    </w:p>
    <w:p w14:paraId="6B5F0B6D" w14:textId="77777777" w:rsidR="008609C1" w:rsidRDefault="008609C1" w:rsidP="008609C1">
      <w:r>
        <w:t>Bonjour Monsieur Morissette,</w:t>
      </w:r>
    </w:p>
    <w:p w14:paraId="3846461D" w14:textId="77777777" w:rsidR="008609C1" w:rsidRDefault="008609C1" w:rsidP="008609C1"/>
    <w:p w14:paraId="7AFCA790" w14:textId="77777777" w:rsidR="008609C1" w:rsidRDefault="008609C1" w:rsidP="008609C1">
      <w:r>
        <w:t xml:space="preserve"> </w:t>
      </w:r>
    </w:p>
    <w:p w14:paraId="49B54822" w14:textId="77777777" w:rsidR="008609C1" w:rsidRDefault="008609C1" w:rsidP="008609C1"/>
    <w:p w14:paraId="4A9D0DE7" w14:textId="77777777" w:rsidR="008609C1" w:rsidRDefault="008609C1" w:rsidP="008609C1">
      <w:r>
        <w:t>Effectivement, le paragraphe que vous avez cité concerne la présence des boîtes électriques dans les murs coupe-feu des bâtiments assujettis à la partie 3. Cependant, ce n’est pas applicable au bâtiment situé au 35 rue Joseph-Hamelin à Sainte-Thérèse, qui relève de la partie 9 du CCQ 2015. Malgré cela, il existe un article équivalent dans la partie 9 concernant les boîtes électriques installées dans une séparation coupe-feu, à savoir l’article 9.10.9.6.8 :</w:t>
      </w:r>
    </w:p>
    <w:p w14:paraId="062B30B0" w14:textId="77777777" w:rsidR="008609C1" w:rsidRDefault="008609C1" w:rsidP="008609C1"/>
    <w:p w14:paraId="41F77447" w14:textId="77777777" w:rsidR="008609C1" w:rsidRDefault="008609C1" w:rsidP="008609C1">
      <w:r>
        <w:t xml:space="preserve"> </w:t>
      </w:r>
    </w:p>
    <w:p w14:paraId="4D34A54E" w14:textId="77777777" w:rsidR="008609C1" w:rsidRDefault="008609C1" w:rsidP="008609C1"/>
    <w:p w14:paraId="77B66F2F" w14:textId="77777777" w:rsidR="008609C1" w:rsidRDefault="008609C1" w:rsidP="008609C1">
      <w:r>
        <w:t>«</w:t>
      </w:r>
      <w:r>
        <w:rPr>
          <w:rFonts w:ascii="Arial" w:hAnsi="Arial" w:cs="Arial"/>
        </w:rPr>
        <w:t> </w:t>
      </w:r>
      <w:r>
        <w:t>9.10.9.6. P</w:t>
      </w:r>
      <w:r>
        <w:rPr>
          <w:rFonts w:ascii="Aptos" w:hAnsi="Aptos" w:cs="Aptos"/>
        </w:rPr>
        <w:t>é</w:t>
      </w:r>
      <w:r>
        <w:t>n</w:t>
      </w:r>
      <w:r>
        <w:rPr>
          <w:rFonts w:ascii="Aptos" w:hAnsi="Aptos" w:cs="Aptos"/>
        </w:rPr>
        <w:t>é</w:t>
      </w:r>
      <w:r>
        <w:t>tration dans une s</w:t>
      </w:r>
      <w:r>
        <w:rPr>
          <w:rFonts w:ascii="Aptos" w:hAnsi="Aptos" w:cs="Aptos"/>
        </w:rPr>
        <w:t>é</w:t>
      </w:r>
      <w:r>
        <w:t xml:space="preserve">paration coupe-feu 8) </w:t>
      </w:r>
      <w:r>
        <w:rPr>
          <w:rFonts w:ascii="Aptos" w:hAnsi="Aptos" w:cs="Aptos"/>
        </w:rPr>
        <w:t>À</w:t>
      </w:r>
      <w:r>
        <w:t xml:space="preserve"> condition que l</w:t>
      </w:r>
      <w:r>
        <w:rPr>
          <w:rFonts w:ascii="Aptos" w:hAnsi="Aptos" w:cs="Aptos"/>
        </w:rPr>
        <w:t>’</w:t>
      </w:r>
      <w:r>
        <w:t>ouverture pratiqu</w:t>
      </w:r>
      <w:r>
        <w:rPr>
          <w:rFonts w:ascii="Aptos" w:hAnsi="Aptos" w:cs="Aptos"/>
        </w:rPr>
        <w:t>é</w:t>
      </w:r>
      <w:r>
        <w:t>e dans l</w:t>
      </w:r>
      <w:r>
        <w:rPr>
          <w:rFonts w:ascii="Aptos" w:hAnsi="Aptos" w:cs="Aptos"/>
        </w:rPr>
        <w:t>’</w:t>
      </w:r>
      <w:r>
        <w:t>ensemble ne d</w:t>
      </w:r>
      <w:r>
        <w:rPr>
          <w:rFonts w:ascii="Aptos" w:hAnsi="Aptos" w:cs="Aptos"/>
        </w:rPr>
        <w:t>é</w:t>
      </w:r>
      <w:r>
        <w:t>passe pas 160 cm</w:t>
      </w:r>
      <w:r>
        <w:rPr>
          <w:rFonts w:ascii="Aptos" w:hAnsi="Aptos" w:cs="Aptos"/>
        </w:rPr>
        <w:t>²</w:t>
      </w:r>
      <w:r>
        <w:t>, il est permis d</w:t>
      </w:r>
      <w:r>
        <w:rPr>
          <w:rFonts w:ascii="Aptos" w:hAnsi="Aptos" w:cs="Aptos"/>
        </w:rPr>
        <w:t>’</w:t>
      </w:r>
      <w:r>
        <w:t>encastrer des bo</w:t>
      </w:r>
      <w:r>
        <w:rPr>
          <w:rFonts w:ascii="Aptos" w:hAnsi="Aptos" w:cs="Aptos"/>
        </w:rPr>
        <w:t>î</w:t>
      </w:r>
      <w:r>
        <w:t xml:space="preserve">tes de sortie </w:t>
      </w:r>
      <w:r>
        <w:rPr>
          <w:rFonts w:ascii="Aptos" w:hAnsi="Aptos" w:cs="Aptos"/>
        </w:rPr>
        <w:t>é</w:t>
      </w:r>
      <w:r>
        <w:t>lectrique combustibles dans un ensemble ayant un degr</w:t>
      </w:r>
      <w:r>
        <w:rPr>
          <w:rFonts w:ascii="Aptos" w:hAnsi="Aptos" w:cs="Aptos"/>
        </w:rPr>
        <w:t>é</w:t>
      </w:r>
      <w:r>
        <w:t xml:space="preserve"> de r</w:t>
      </w:r>
      <w:r>
        <w:rPr>
          <w:rFonts w:ascii="Aptos" w:hAnsi="Aptos" w:cs="Aptos"/>
        </w:rPr>
        <w:t>é</w:t>
      </w:r>
      <w:r>
        <w:t>sistance au feu exig</w:t>
      </w:r>
      <w:r>
        <w:rPr>
          <w:rFonts w:ascii="Aptos" w:hAnsi="Aptos" w:cs="Aptos"/>
        </w:rPr>
        <w:t>é</w:t>
      </w:r>
      <w:r>
        <w:t>, m</w:t>
      </w:r>
      <w:r>
        <w:rPr>
          <w:rFonts w:ascii="Aptos" w:hAnsi="Aptos" w:cs="Aptos"/>
        </w:rPr>
        <w:t>ê</w:t>
      </w:r>
      <w:r>
        <w:t>me si elles n</w:t>
      </w:r>
      <w:r>
        <w:rPr>
          <w:rFonts w:ascii="Aptos" w:hAnsi="Aptos" w:cs="Aptos"/>
        </w:rPr>
        <w:t>’</w:t>
      </w:r>
      <w:r>
        <w:t xml:space="preserve">ont pas </w:t>
      </w:r>
      <w:r>
        <w:rPr>
          <w:rFonts w:ascii="Aptos" w:hAnsi="Aptos" w:cs="Aptos"/>
        </w:rPr>
        <w:t>é</w:t>
      </w:r>
      <w:r>
        <w:t>t</w:t>
      </w:r>
      <w:r>
        <w:rPr>
          <w:rFonts w:ascii="Aptos" w:hAnsi="Aptos" w:cs="Aptos"/>
        </w:rPr>
        <w:t>é</w:t>
      </w:r>
      <w:r>
        <w:t xml:space="preserve"> incorpor</w:t>
      </w:r>
      <w:r>
        <w:rPr>
          <w:rFonts w:ascii="Aptos" w:hAnsi="Aptos" w:cs="Aptos"/>
        </w:rPr>
        <w:t>é</w:t>
      </w:r>
      <w:r>
        <w:t>es au moment des essais, comme l</w:t>
      </w:r>
      <w:r>
        <w:rPr>
          <w:rFonts w:ascii="Aptos" w:hAnsi="Aptos" w:cs="Aptos"/>
        </w:rPr>
        <w:t>’</w:t>
      </w:r>
      <w:r>
        <w:t>exige le paragraphe 3).</w:t>
      </w:r>
      <w:r>
        <w:rPr>
          <w:rFonts w:ascii="Arial" w:hAnsi="Arial" w:cs="Arial"/>
        </w:rPr>
        <w:t> </w:t>
      </w:r>
      <w:r>
        <w:rPr>
          <w:rFonts w:ascii="Aptos" w:hAnsi="Aptos" w:cs="Aptos"/>
        </w:rPr>
        <w:t>»</w:t>
      </w:r>
    </w:p>
    <w:p w14:paraId="2CD453B7" w14:textId="77777777" w:rsidR="008609C1" w:rsidRDefault="008609C1" w:rsidP="008609C1"/>
    <w:p w14:paraId="689C4DD9" w14:textId="77777777" w:rsidR="008609C1" w:rsidRDefault="008609C1" w:rsidP="008609C1">
      <w:r>
        <w:t xml:space="preserve"> </w:t>
      </w:r>
    </w:p>
    <w:p w14:paraId="4F636AC7" w14:textId="77777777" w:rsidR="008609C1" w:rsidRDefault="008609C1" w:rsidP="008609C1"/>
    <w:p w14:paraId="3404322E" w14:textId="77777777" w:rsidR="008609C1" w:rsidRDefault="008609C1" w:rsidP="008609C1">
      <w:r>
        <w:t>Cependant, la non-conformité est liée à la sous-section 9.9.4, Protection des issues contre l’incendie, et plus précisément aux séparations coupe-feu des issues, au paragraphe 4 de l’article 9.9.4.2 :</w:t>
      </w:r>
    </w:p>
    <w:p w14:paraId="2005D90B" w14:textId="77777777" w:rsidR="008609C1" w:rsidRDefault="008609C1" w:rsidP="008609C1"/>
    <w:p w14:paraId="1B6435AB" w14:textId="77777777" w:rsidR="008609C1" w:rsidRDefault="008609C1" w:rsidP="008609C1">
      <w:r>
        <w:t xml:space="preserve"> </w:t>
      </w:r>
    </w:p>
    <w:p w14:paraId="6E6B9D36" w14:textId="77777777" w:rsidR="008609C1" w:rsidRDefault="008609C1" w:rsidP="008609C1"/>
    <w:p w14:paraId="317B1462" w14:textId="77777777" w:rsidR="008609C1" w:rsidRDefault="008609C1" w:rsidP="008609C1">
      <w:r>
        <w:lastRenderedPageBreak/>
        <w:t>«</w:t>
      </w:r>
      <w:r>
        <w:rPr>
          <w:rFonts w:ascii="Arial" w:hAnsi="Arial" w:cs="Arial"/>
        </w:rPr>
        <w:t> </w:t>
      </w:r>
      <w:r>
        <w:t>Une s</w:t>
      </w:r>
      <w:r>
        <w:rPr>
          <w:rFonts w:ascii="Aptos" w:hAnsi="Aptos" w:cs="Aptos"/>
        </w:rPr>
        <w:t>é</w:t>
      </w:r>
      <w:r>
        <w:t>paration coupe-feu qui isole une issue du reste du b</w:t>
      </w:r>
      <w:r>
        <w:rPr>
          <w:rFonts w:ascii="Aptos" w:hAnsi="Aptos" w:cs="Aptos"/>
        </w:rPr>
        <w:t>â</w:t>
      </w:r>
      <w:r>
        <w:t>timent ne doit comporter aucune ouverture, sauf pour le passage des c</w:t>
      </w:r>
      <w:r>
        <w:rPr>
          <w:rFonts w:ascii="Aptos" w:hAnsi="Aptos" w:cs="Aptos"/>
        </w:rPr>
        <w:t>â</w:t>
      </w:r>
      <w:r>
        <w:t xml:space="preserve">bles </w:t>
      </w:r>
      <w:r>
        <w:rPr>
          <w:rFonts w:ascii="Aptos" w:hAnsi="Aptos" w:cs="Aptos"/>
        </w:rPr>
        <w:t>é</w:t>
      </w:r>
      <w:r>
        <w:t>lectriques, des conduits incombustibles et des tuyaux incombustibles qui ne desservent que l</w:t>
      </w:r>
      <w:r>
        <w:rPr>
          <w:rFonts w:ascii="Aptos" w:hAnsi="Aptos" w:cs="Aptos"/>
        </w:rPr>
        <w:t>’</w:t>
      </w:r>
      <w:r>
        <w:t>issue et pour les canalisations des robinets d</w:t>
      </w:r>
      <w:r>
        <w:rPr>
          <w:rFonts w:ascii="Aptos" w:hAnsi="Aptos" w:cs="Aptos"/>
        </w:rPr>
        <w:t>’</w:t>
      </w:r>
      <w:r>
        <w:t>incendie arm</w:t>
      </w:r>
      <w:r>
        <w:rPr>
          <w:rFonts w:ascii="Aptos" w:hAnsi="Aptos" w:cs="Aptos"/>
        </w:rPr>
        <w:t>é</w:t>
      </w:r>
      <w:r>
        <w:t>s et des gicleurs, les portes d</w:t>
      </w:r>
      <w:r>
        <w:rPr>
          <w:rFonts w:ascii="Aptos" w:hAnsi="Aptos" w:cs="Aptos"/>
        </w:rPr>
        <w:t>’</w:t>
      </w:r>
      <w:r>
        <w:t>issue, le verre arm</w:t>
      </w:r>
      <w:r>
        <w:rPr>
          <w:rFonts w:ascii="Aptos" w:hAnsi="Aptos" w:cs="Aptos"/>
        </w:rPr>
        <w:t>é</w:t>
      </w:r>
      <w:r>
        <w:t xml:space="preserve"> et les briques de verre conformes </w:t>
      </w:r>
      <w:r>
        <w:rPr>
          <w:rFonts w:ascii="Aptos" w:hAnsi="Aptos" w:cs="Aptos"/>
        </w:rPr>
        <w:t>à</w:t>
      </w:r>
      <w:r>
        <w:t xml:space="preserve"> l</w:t>
      </w:r>
      <w:r>
        <w:rPr>
          <w:rFonts w:ascii="Aptos" w:hAnsi="Aptos" w:cs="Aptos"/>
        </w:rPr>
        <w:t>’</w:t>
      </w:r>
      <w:r>
        <w:t>article 9.9.4.3.</w:t>
      </w:r>
      <w:r>
        <w:rPr>
          <w:rFonts w:ascii="Arial" w:hAnsi="Arial" w:cs="Arial"/>
        </w:rPr>
        <w:t> </w:t>
      </w:r>
      <w:r>
        <w:rPr>
          <w:rFonts w:ascii="Aptos" w:hAnsi="Aptos" w:cs="Aptos"/>
        </w:rPr>
        <w:t>»</w:t>
      </w:r>
    </w:p>
    <w:p w14:paraId="59C9BF81" w14:textId="77777777" w:rsidR="008609C1" w:rsidRDefault="008609C1" w:rsidP="008609C1"/>
    <w:p w14:paraId="2BC491C7" w14:textId="77777777" w:rsidR="008609C1" w:rsidRDefault="008609C1" w:rsidP="008609C1">
      <w:r>
        <w:t xml:space="preserve"> </w:t>
      </w:r>
    </w:p>
    <w:p w14:paraId="2F1957EF" w14:textId="77777777" w:rsidR="008609C1" w:rsidRDefault="008609C1" w:rsidP="008609C1"/>
    <w:p w14:paraId="7A4F4117" w14:textId="77777777" w:rsidR="008609C1" w:rsidRDefault="008609C1" w:rsidP="008609C1">
      <w:r>
        <w:t>L’interprétation repose sur les caractéristiques suivantes de cette séparation :</w:t>
      </w:r>
    </w:p>
    <w:p w14:paraId="4D810451" w14:textId="77777777" w:rsidR="008609C1" w:rsidRDefault="008609C1" w:rsidP="008609C1"/>
    <w:p w14:paraId="698F8618" w14:textId="77777777" w:rsidR="008609C1" w:rsidRDefault="008609C1" w:rsidP="008609C1">
      <w:r>
        <w:t xml:space="preserve"> </w:t>
      </w:r>
    </w:p>
    <w:p w14:paraId="42182B6C" w14:textId="77777777" w:rsidR="008609C1" w:rsidRDefault="008609C1" w:rsidP="008609C1"/>
    <w:p w14:paraId="3446ACDF" w14:textId="77777777" w:rsidR="008609C1" w:rsidRDefault="008609C1" w:rsidP="008609C1">
      <w:r>
        <w:t>La cloison entre le corridor et l’escalier d’issue doit être une séparation coupe-feu.</w:t>
      </w:r>
    </w:p>
    <w:p w14:paraId="1662AA4D" w14:textId="77777777" w:rsidR="008609C1" w:rsidRDefault="008609C1" w:rsidP="008609C1">
      <w:r>
        <w:t>La séparation coupe-feu doit isoler l’escalier d’issue du reste du bâtiment.</w:t>
      </w:r>
    </w:p>
    <w:p w14:paraId="622C03CB" w14:textId="77777777" w:rsidR="008609C1" w:rsidRDefault="008609C1" w:rsidP="008609C1">
      <w:r>
        <w:t>La séparation coupe-feu ne doit comporter aucune ouverture, sauf celles desservant exclusivement l’issue.</w:t>
      </w:r>
    </w:p>
    <w:p w14:paraId="4D9A68F3" w14:textId="77777777" w:rsidR="008609C1" w:rsidRDefault="008609C1" w:rsidP="008609C1">
      <w:r>
        <w:t>L’alarme incendie ne dessert pas exclusivement l’issue et les stations manuelles font partie intégrante de l’alarme incendie.</w:t>
      </w:r>
    </w:p>
    <w:p w14:paraId="37B902D3" w14:textId="77777777" w:rsidR="008609C1" w:rsidRDefault="008609C1" w:rsidP="008609C1">
      <w:r>
        <w:t xml:space="preserve"> </w:t>
      </w:r>
    </w:p>
    <w:p w14:paraId="4FAE3C9B" w14:textId="77777777" w:rsidR="008609C1" w:rsidRDefault="008609C1" w:rsidP="008609C1"/>
    <w:p w14:paraId="6A57EBFC" w14:textId="77777777" w:rsidR="008609C1" w:rsidRDefault="008609C1" w:rsidP="008609C1">
      <w:r>
        <w:t>De plus, la page 116 du Guide illustré de l’utilisateur CNB 2015 : Maisons et petits bâtiments (Partie 9 de la division B) explique l’importance de l’intégrité des séparations coupe-feu des issues :</w:t>
      </w:r>
    </w:p>
    <w:p w14:paraId="4A050F0B" w14:textId="77777777" w:rsidR="008609C1" w:rsidRDefault="008609C1" w:rsidP="008609C1"/>
    <w:p w14:paraId="3F1EF36F" w14:textId="77777777" w:rsidR="008609C1" w:rsidRDefault="008609C1" w:rsidP="008609C1">
      <w:r>
        <w:t xml:space="preserve"> </w:t>
      </w:r>
    </w:p>
    <w:p w14:paraId="216DCC62" w14:textId="77777777" w:rsidR="008609C1" w:rsidRDefault="008609C1" w:rsidP="008609C1"/>
    <w:p w14:paraId="0C468407" w14:textId="77777777" w:rsidR="008609C1" w:rsidRDefault="008609C1" w:rsidP="008609C1">
      <w:r>
        <w:t>«</w:t>
      </w:r>
      <w:r>
        <w:rPr>
          <w:rFonts w:ascii="Arial" w:hAnsi="Arial" w:cs="Arial"/>
        </w:rPr>
        <w:t> </w:t>
      </w:r>
      <w:r>
        <w:t>Puisque ces s</w:t>
      </w:r>
      <w:r>
        <w:rPr>
          <w:rFonts w:ascii="Aptos" w:hAnsi="Aptos" w:cs="Aptos"/>
        </w:rPr>
        <w:t>é</w:t>
      </w:r>
      <w:r>
        <w:t>parations sont situ</w:t>
      </w:r>
      <w:r>
        <w:rPr>
          <w:rFonts w:ascii="Aptos" w:hAnsi="Aptos" w:cs="Aptos"/>
        </w:rPr>
        <w:t>é</w:t>
      </w:r>
      <w:r>
        <w:t>es dans des endroits critiques, le nombre de p</w:t>
      </w:r>
      <w:r>
        <w:rPr>
          <w:rFonts w:ascii="Aptos" w:hAnsi="Aptos" w:cs="Aptos"/>
        </w:rPr>
        <w:t>é</w:t>
      </w:r>
      <w:r>
        <w:t>n</w:t>
      </w:r>
      <w:r>
        <w:rPr>
          <w:rFonts w:ascii="Aptos" w:hAnsi="Aptos" w:cs="Aptos"/>
        </w:rPr>
        <w:t>é</w:t>
      </w:r>
      <w:r>
        <w:t>trations techniques qui peuvent les traverser est encore plus limit</w:t>
      </w:r>
      <w:r>
        <w:rPr>
          <w:rFonts w:ascii="Aptos" w:hAnsi="Aptos" w:cs="Aptos"/>
        </w:rPr>
        <w:t>é</w:t>
      </w:r>
      <w:r>
        <w:t xml:space="preserve"> que dans le cas des autres s</w:t>
      </w:r>
      <w:r>
        <w:rPr>
          <w:rFonts w:ascii="Aptos" w:hAnsi="Aptos" w:cs="Aptos"/>
        </w:rPr>
        <w:t>é</w:t>
      </w:r>
      <w:r>
        <w:t>parations coupe-feu. Ainsi, il est interdit que des conduits et des tuyauteries combustibles traversent ces s</w:t>
      </w:r>
      <w:r>
        <w:rPr>
          <w:rFonts w:ascii="Aptos" w:hAnsi="Aptos" w:cs="Aptos"/>
        </w:rPr>
        <w:t>é</w:t>
      </w:r>
      <w:r>
        <w:t>parations. Seules les tuyauteries qui alimentent les robinets, les canalisations d</w:t>
      </w:r>
      <w:r>
        <w:rPr>
          <w:rFonts w:ascii="Aptos" w:hAnsi="Aptos" w:cs="Aptos"/>
        </w:rPr>
        <w:t>’</w:t>
      </w:r>
      <w:r>
        <w:t xml:space="preserve">incendie et les gicleurs, ainsi que les conduits et les canalisations </w:t>
      </w:r>
      <w:r>
        <w:rPr>
          <w:rFonts w:ascii="Aptos" w:hAnsi="Aptos" w:cs="Aptos"/>
        </w:rPr>
        <w:t>é</w:t>
      </w:r>
      <w:r>
        <w:t>lectriques incombustibles, qui desservent l</w:t>
      </w:r>
      <w:r>
        <w:rPr>
          <w:rFonts w:ascii="Aptos" w:hAnsi="Aptos" w:cs="Aptos"/>
        </w:rPr>
        <w:t>’</w:t>
      </w:r>
      <w:r>
        <w:t>issue, peuvent traverser ces séparations.</w:t>
      </w:r>
      <w:r>
        <w:rPr>
          <w:rFonts w:ascii="Arial" w:hAnsi="Arial" w:cs="Arial"/>
        </w:rPr>
        <w:t> </w:t>
      </w:r>
      <w:r>
        <w:rPr>
          <w:rFonts w:ascii="Aptos" w:hAnsi="Aptos" w:cs="Aptos"/>
        </w:rPr>
        <w:t>»</w:t>
      </w:r>
    </w:p>
    <w:p w14:paraId="0843AB68" w14:textId="77777777" w:rsidR="008609C1" w:rsidRDefault="008609C1" w:rsidP="008609C1"/>
    <w:p w14:paraId="2713645D" w14:textId="77777777" w:rsidR="008609C1" w:rsidRDefault="008609C1" w:rsidP="008609C1">
      <w:r>
        <w:lastRenderedPageBreak/>
        <w:t xml:space="preserve"> </w:t>
      </w:r>
    </w:p>
    <w:p w14:paraId="2DFE0460" w14:textId="77777777" w:rsidR="008609C1" w:rsidRDefault="008609C1" w:rsidP="008609C1"/>
    <w:p w14:paraId="04FAA062" w14:textId="77777777" w:rsidR="008609C1" w:rsidRDefault="008609C1" w:rsidP="008609C1">
      <w:r>
        <w:t>Cordialement,</w:t>
      </w:r>
    </w:p>
    <w:p w14:paraId="1DE78A59" w14:textId="77777777" w:rsidR="008609C1" w:rsidRDefault="008609C1" w:rsidP="008609C1"/>
    <w:p w14:paraId="56B33B64" w14:textId="77777777" w:rsidR="008609C1" w:rsidRDefault="008609C1" w:rsidP="008609C1">
      <w:r>
        <w:t xml:space="preserve"> </w:t>
      </w:r>
    </w:p>
    <w:p w14:paraId="34FA5AF9" w14:textId="77777777" w:rsidR="008609C1" w:rsidRDefault="008609C1" w:rsidP="008609C1"/>
    <w:p w14:paraId="0380CEAA" w14:textId="77777777" w:rsidR="008609C1" w:rsidRDefault="008609C1" w:rsidP="008609C1">
      <w:r>
        <w:t xml:space="preserve"> </w:t>
      </w:r>
    </w:p>
    <w:p w14:paraId="7F84F8D1" w14:textId="77777777" w:rsidR="008609C1" w:rsidRDefault="008609C1" w:rsidP="008609C1"/>
    <w:p w14:paraId="2B4A5872" w14:textId="77777777" w:rsidR="008609C1" w:rsidRDefault="008609C1" w:rsidP="008609C1">
      <w:r>
        <w:t>John Aranguren</w:t>
      </w:r>
    </w:p>
    <w:p w14:paraId="5E2FE441" w14:textId="77777777" w:rsidR="008609C1" w:rsidRDefault="008609C1" w:rsidP="008609C1"/>
    <w:p w14:paraId="6E547F75" w14:textId="77777777" w:rsidR="008609C1" w:rsidRDefault="008609C1" w:rsidP="008609C1">
      <w:r>
        <w:t>Inspecteur</w:t>
      </w:r>
    </w:p>
    <w:p w14:paraId="3AAA9048" w14:textId="77777777" w:rsidR="008609C1" w:rsidRDefault="008609C1" w:rsidP="008609C1"/>
    <w:p w14:paraId="3C6DFFD6" w14:textId="77777777" w:rsidR="008609C1" w:rsidRDefault="008609C1" w:rsidP="008609C1">
      <w:r>
        <w:t>Direction des inspections en construction et conception</w:t>
      </w:r>
    </w:p>
    <w:p w14:paraId="62FC7AE0" w14:textId="77777777" w:rsidR="008609C1" w:rsidRDefault="008609C1" w:rsidP="008609C1">
      <w:r>
        <w:t>Régie du bâtiment du Québec</w:t>
      </w:r>
    </w:p>
    <w:p w14:paraId="0B02BDD1" w14:textId="77777777" w:rsidR="008609C1" w:rsidRDefault="008609C1" w:rsidP="008609C1"/>
    <w:p w14:paraId="0338B79F" w14:textId="77777777" w:rsidR="008609C1" w:rsidRDefault="008609C1" w:rsidP="008609C1">
      <w:r>
        <w:t xml:space="preserve"> </w:t>
      </w:r>
    </w:p>
    <w:p w14:paraId="31E9072F" w14:textId="77777777" w:rsidR="008609C1" w:rsidRDefault="008609C1" w:rsidP="008609C1"/>
    <w:p w14:paraId="53C5674C" w14:textId="77777777" w:rsidR="008609C1" w:rsidRDefault="008609C1" w:rsidP="008609C1">
      <w:r>
        <w:t>Édifice Jos-Montferrand</w:t>
      </w:r>
    </w:p>
    <w:p w14:paraId="5718BB8E" w14:textId="77777777" w:rsidR="008609C1" w:rsidRDefault="008609C1" w:rsidP="008609C1"/>
    <w:p w14:paraId="6AE01478" w14:textId="77777777" w:rsidR="008609C1" w:rsidRDefault="008609C1" w:rsidP="008609C1">
      <w:r>
        <w:t>170, rue de l'Hôtel-de-Ville,8e étage, bureau 8.100</w:t>
      </w:r>
    </w:p>
    <w:p w14:paraId="317E304A" w14:textId="77777777" w:rsidR="008609C1" w:rsidRDefault="008609C1" w:rsidP="008609C1"/>
    <w:p w14:paraId="510F418D" w14:textId="77777777" w:rsidR="008609C1" w:rsidRDefault="008609C1" w:rsidP="008609C1">
      <w:r>
        <w:t>Gatineau(Québec) J8X4C2</w:t>
      </w:r>
    </w:p>
    <w:p w14:paraId="5152A0AD" w14:textId="77777777" w:rsidR="008609C1" w:rsidRDefault="008609C1" w:rsidP="008609C1">
      <w:r>
        <w:t xml:space="preserve"> 873 376 0510</w:t>
      </w:r>
    </w:p>
    <w:p w14:paraId="69EB009C" w14:textId="77777777" w:rsidR="008609C1" w:rsidRDefault="008609C1" w:rsidP="008609C1">
      <w:r>
        <w:t>john.aranguren@rbq.gouv.qc.ca</w:t>
      </w:r>
    </w:p>
    <w:p w14:paraId="778352DC" w14:textId="77777777" w:rsidR="008609C1" w:rsidRDefault="008609C1" w:rsidP="008609C1">
      <w:r>
        <w:t>www.rbq.gouv.qc.ca</w:t>
      </w:r>
    </w:p>
    <w:p w14:paraId="040EBB3C" w14:textId="77777777" w:rsidR="008609C1" w:rsidRDefault="008609C1" w:rsidP="008609C1"/>
    <w:p w14:paraId="4431A345" w14:textId="77777777" w:rsidR="008609C1" w:rsidRDefault="008609C1" w:rsidP="008609C1">
      <w:r>
        <w:t>Avis de confidentialité</w:t>
      </w:r>
    </w:p>
    <w:p w14:paraId="3F5169EE" w14:textId="77777777" w:rsidR="008609C1" w:rsidRDefault="008609C1" w:rsidP="008609C1"/>
    <w:p w14:paraId="31599D76" w14:textId="77777777" w:rsidR="008609C1" w:rsidRDefault="008609C1" w:rsidP="008609C1">
      <w:r>
        <w:lastRenderedPageBreak/>
        <w:t>Le présent courriel peut contenir des renseignements confidentiels et ne s’adresse qu’au destinataire ou qu’à la destinataire dont le nom figure ci-dessus. Si ce courriel vous est parvenu par mégarde, veuillez le supprimer et nous en aviser. Merci.</w:t>
      </w:r>
    </w:p>
    <w:p w14:paraId="55FA9514" w14:textId="77777777" w:rsidR="008609C1" w:rsidRDefault="008609C1" w:rsidP="008609C1"/>
    <w:p w14:paraId="0935F89C" w14:textId="77777777" w:rsidR="008609C1" w:rsidRDefault="008609C1" w:rsidP="008609C1">
      <w:r>
        <w:t xml:space="preserve"> </w:t>
      </w:r>
    </w:p>
    <w:p w14:paraId="768F3210" w14:textId="77777777" w:rsidR="008609C1" w:rsidRDefault="008609C1" w:rsidP="008609C1"/>
    <w:p w14:paraId="11DD561F" w14:textId="6E809542" w:rsidR="00B41798" w:rsidRDefault="008609C1" w:rsidP="008609C1">
      <w:r>
        <w:t>RÃ©gie du bÃ¢timent du QuÃ©bec.</w:t>
      </w:r>
    </w:p>
    <w:sectPr w:rsidR="00B417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9D"/>
    <w:rsid w:val="002A12CC"/>
    <w:rsid w:val="003C1F9D"/>
    <w:rsid w:val="008609C1"/>
    <w:rsid w:val="00B41798"/>
    <w:rsid w:val="00E6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91772-CD31-449F-8EA7-D4D7D3C2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1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1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1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1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1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1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1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1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1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1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1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1F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1F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1F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1F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1F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1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1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1F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1F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1F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1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1F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1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B. Morissette</dc:creator>
  <cp:keywords/>
  <dc:description/>
  <cp:lastModifiedBy>Francis B. Morissette</cp:lastModifiedBy>
  <cp:revision>2</cp:revision>
  <dcterms:created xsi:type="dcterms:W3CDTF">2024-10-11T14:39:00Z</dcterms:created>
  <dcterms:modified xsi:type="dcterms:W3CDTF">2024-10-11T14:40:00Z</dcterms:modified>
</cp:coreProperties>
</file>